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9E6" w14:textId="6E16BF9F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492F46">
        <w:rPr>
          <w:b/>
          <w:noProof/>
          <w:sz w:val="24"/>
        </w:rPr>
        <w:t>112</w:t>
      </w:r>
      <w:r w:rsidR="00E74BA7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11049A" w:rsidRPr="0011049A">
        <w:rPr>
          <w:b/>
          <w:noProof/>
          <w:sz w:val="24"/>
        </w:rPr>
        <w:t>R4-24</w:t>
      </w:r>
      <w:r w:rsidR="00E81ECB" w:rsidRPr="00E81ECB">
        <w:rPr>
          <w:b/>
          <w:noProof/>
          <w:sz w:val="24"/>
        </w:rPr>
        <w:t>15557</w:t>
      </w:r>
    </w:p>
    <w:p w14:paraId="1211B54E" w14:textId="77777777" w:rsidR="00E74BA7" w:rsidRPr="0052514D" w:rsidRDefault="00E74BA7" w:rsidP="00E74BA7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6F266879" w14:textId="5A9F526A" w:rsidR="00813179" w:rsidRPr="000C245A" w:rsidRDefault="00813179" w:rsidP="00813179">
      <w:pPr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46DA2A95" w14:textId="6EE7EEE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13179" w:rsidRPr="00813179">
        <w:rPr>
          <w:rFonts w:ascii="Arial" w:hAnsi="Arial" w:cs="Arial"/>
          <w:b/>
        </w:rPr>
        <w:t>Discussion on MPR reduction for FR2 CA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2D2999D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B68D7">
        <w:rPr>
          <w:rFonts w:ascii="Arial" w:hAnsi="Arial" w:cs="Arial"/>
          <w:b/>
        </w:rPr>
        <w:t>6</w:t>
      </w:r>
      <w:r w:rsidR="005119D3">
        <w:rPr>
          <w:rFonts w:ascii="Arial" w:hAnsi="Arial" w:cs="Arial"/>
          <w:b/>
        </w:rPr>
        <w:t>.1.1.2.3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01E7C886" w14:textId="60CF157A" w:rsidR="009E3105" w:rsidRDefault="00C8197D" w:rsidP="001D08D9">
      <w:pPr>
        <w:rPr>
          <w:lang w:eastAsia="zh-CN"/>
        </w:rPr>
      </w:pPr>
      <w:r>
        <w:rPr>
          <w:lang w:eastAsia="zh-CN"/>
        </w:rPr>
        <w:t>About the MPR enhancement for FR2 CA, the MPR applicability has been discussed and consensus</w:t>
      </w:r>
      <w:r w:rsidR="00C741CD">
        <w:rPr>
          <w:lang w:eastAsia="zh-CN"/>
        </w:rPr>
        <w:t xml:space="preserve"> has been achieved</w:t>
      </w:r>
      <w:r w:rsidR="00A93A3F">
        <w:rPr>
          <w:lang w:eastAsia="zh-CN"/>
        </w:rPr>
        <w:t xml:space="preserve"> over previous meetings</w:t>
      </w:r>
      <w:r w:rsidR="00C741CD">
        <w:rPr>
          <w:lang w:eastAsia="zh-CN"/>
        </w:rPr>
        <w:t>. A tiny issue left is about the spec change on the 200MHz granularity. Then the main remaining job is about the UE capability details</w:t>
      </w:r>
      <w:r w:rsidR="002457B0">
        <w:rPr>
          <w:lang w:eastAsia="zh-CN"/>
        </w:rPr>
        <w:t xml:space="preserve"> including release independence aspect.</w:t>
      </w:r>
    </w:p>
    <w:p w14:paraId="6EFA447C" w14:textId="16CE9BB7" w:rsidR="009E3105" w:rsidRPr="00AB198D" w:rsidRDefault="009E3105" w:rsidP="009E310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contribution, we further discuss the </w:t>
      </w:r>
      <w:r w:rsidR="002457B0">
        <w:rPr>
          <w:lang w:val="en-US" w:eastAsia="zh-CN"/>
        </w:rPr>
        <w:t>remaining issues as mentioned above</w:t>
      </w:r>
      <w:r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9421F34" w14:textId="7766E70D" w:rsidR="00941E99" w:rsidRDefault="00941E99" w:rsidP="00941E99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 w:rsidR="00195ABC">
        <w:rPr>
          <w:lang w:eastAsia="zh-CN"/>
        </w:rPr>
        <w:t>MPR applicability</w:t>
      </w:r>
    </w:p>
    <w:p w14:paraId="3E3C2073" w14:textId="77777777" w:rsidR="003F1BEE" w:rsidRDefault="00E47495" w:rsidP="00E4749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 w:rsidRPr="007C07A4">
        <w:rPr>
          <w:rFonts w:eastAsiaTheme="minorEastAsia"/>
          <w:lang w:eastAsia="zh-CN"/>
        </w:rPr>
        <w:t>single carrier UL with DL intra band CA</w:t>
      </w:r>
      <w:r>
        <w:rPr>
          <w:rFonts w:eastAsiaTheme="minorEastAsia"/>
          <w:lang w:eastAsia="zh-CN"/>
        </w:rPr>
        <w:t xml:space="preserve">, </w:t>
      </w:r>
      <w:r w:rsidR="003F1BEE">
        <w:rPr>
          <w:rFonts w:eastAsiaTheme="minorEastAsia"/>
          <w:lang w:eastAsia="zh-CN"/>
        </w:rPr>
        <w:t>in the WF [1, R4-2414441] of RAN4#112 meeting</w:t>
      </w:r>
      <w:r w:rsidR="003F1BEE">
        <w:rPr>
          <w:lang w:eastAsia="zh-CN"/>
        </w:rPr>
        <w:t>, FFS is expected.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F1BEE" w14:paraId="240C4F60" w14:textId="77777777" w:rsidTr="003F1BEE">
        <w:tc>
          <w:tcPr>
            <w:tcW w:w="9622" w:type="dxa"/>
          </w:tcPr>
          <w:p w14:paraId="0902915E" w14:textId="77777777" w:rsidR="003F1BEE" w:rsidRPr="00297C16" w:rsidRDefault="003F1BEE" w:rsidP="003F1BEE">
            <w:pPr>
              <w:pStyle w:val="4"/>
              <w:spacing w:before="0" w:after="60"/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</w:pPr>
            <w:r w:rsidRPr="00297C16"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  <w:t xml:space="preserve">Issue 3-2-1:  Applicable MPR for FR2 single carrier UL with DL intra band CA </w:t>
            </w:r>
          </w:p>
          <w:p w14:paraId="428F6A43" w14:textId="77777777" w:rsidR="003F1BEE" w:rsidRPr="00297C16" w:rsidRDefault="003F1BEE" w:rsidP="003F1BEE">
            <w:pPr>
              <w:pStyle w:val="af8"/>
              <w:numPr>
                <w:ilvl w:val="0"/>
                <w:numId w:val="2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 w:rsidRPr="00297C16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12EC5F24" w14:textId="77777777" w:rsidR="003F1BEE" w:rsidRPr="00297C16" w:rsidRDefault="003F1BEE" w:rsidP="003F1BEE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97C16">
              <w:rPr>
                <w:rFonts w:eastAsia="宋体"/>
                <w:color w:val="000000" w:themeColor="text1"/>
                <w:szCs w:val="24"/>
                <w:lang w:eastAsia="zh-CN"/>
              </w:rPr>
              <w:t>Proposal 1: For the case of DL intra band CA with single UL CC (activated or configured), the reference MPR (originally being Table 6.2A.2.4-1) is changed as the MPR requirement for single carrier. (Huawei)</w:t>
            </w:r>
          </w:p>
          <w:p w14:paraId="110A908B" w14:textId="77777777" w:rsidR="003F1BEE" w:rsidRPr="00297C16" w:rsidRDefault="003F1BEE" w:rsidP="003F1BEE">
            <w:pPr>
              <w:pStyle w:val="af8"/>
              <w:numPr>
                <w:ilvl w:val="0"/>
                <w:numId w:val="2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297C16">
              <w:rPr>
                <w:rFonts w:eastAsia="宋体"/>
                <w:color w:val="000000" w:themeColor="text1"/>
                <w:szCs w:val="24"/>
                <w:lang w:eastAsia="zh-CN"/>
              </w:rPr>
              <w:t>WF</w:t>
            </w:r>
          </w:p>
          <w:p w14:paraId="5D57DB44" w14:textId="77777777" w:rsidR="003F1BEE" w:rsidRPr="00297C16" w:rsidRDefault="003F1BEE" w:rsidP="003F1BEE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FFS in next meeting</w:t>
            </w:r>
            <w:r w:rsidRPr="00297C16">
              <w:rPr>
                <w:color w:val="000000" w:themeColor="text1"/>
                <w:lang w:eastAsia="zh-CN"/>
              </w:rPr>
              <w:t>.</w:t>
            </w:r>
          </w:p>
          <w:p w14:paraId="538157A6" w14:textId="77777777" w:rsidR="003F1BEE" w:rsidRDefault="003F1BEE" w:rsidP="00E47495">
            <w:pPr>
              <w:rPr>
                <w:lang w:eastAsia="zh-CN"/>
              </w:rPr>
            </w:pPr>
          </w:p>
        </w:tc>
      </w:tr>
    </w:tbl>
    <w:p w14:paraId="0E69B00A" w14:textId="49B43411" w:rsidR="003F1BEE" w:rsidRDefault="003F1BEE" w:rsidP="00E47495">
      <w:pPr>
        <w:rPr>
          <w:lang w:eastAsia="zh-CN"/>
        </w:rPr>
      </w:pPr>
    </w:p>
    <w:p w14:paraId="213E5DA6" w14:textId="66D7442A" w:rsidR="00FA2FCF" w:rsidRDefault="00FA2FCF" w:rsidP="00E47495">
      <w:pPr>
        <w:rPr>
          <w:lang w:eastAsia="zh-CN"/>
        </w:rPr>
      </w:pPr>
      <w:r>
        <w:rPr>
          <w:lang w:eastAsia="zh-CN"/>
        </w:rPr>
        <w:t>However, in RAN4#111 meeting, agreement</w:t>
      </w:r>
      <w:r w:rsidR="00C23252">
        <w:rPr>
          <w:lang w:eastAsia="zh-CN"/>
        </w:rPr>
        <w:t xml:space="preserve"> [2, R4-2410749]</w:t>
      </w:r>
      <w:r>
        <w:rPr>
          <w:lang w:eastAsia="zh-CN"/>
        </w:rPr>
        <w:t xml:space="preserve"> was already achieved</w:t>
      </w:r>
      <w:r w:rsidR="00C23252">
        <w:rPr>
          <w:lang w:eastAsia="zh-CN"/>
        </w:rPr>
        <w:t xml:space="preserve"> and it is not necessary to FFS.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3252" w14:paraId="3014CC56" w14:textId="77777777" w:rsidTr="00C23252">
        <w:tc>
          <w:tcPr>
            <w:tcW w:w="9622" w:type="dxa"/>
          </w:tcPr>
          <w:p w14:paraId="357A5059" w14:textId="77777777" w:rsidR="00F95231" w:rsidRPr="00A47525" w:rsidRDefault="00F95231" w:rsidP="00F95231">
            <w:pPr>
              <w:pStyle w:val="2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A47525">
              <w:rPr>
                <w:sz w:val="24"/>
              </w:rPr>
              <w:t xml:space="preserve">3. </w:t>
            </w:r>
            <w:r w:rsidRPr="00D83486">
              <w:rPr>
                <w:sz w:val="24"/>
              </w:rPr>
              <w:t>Applicable MPR for FR2 single carrier UL with DL intra band CA</w:t>
            </w:r>
            <w:r w:rsidRPr="00A47525">
              <w:rPr>
                <w:sz w:val="24"/>
              </w:rPr>
              <w:t xml:space="preserve"> </w:t>
            </w:r>
          </w:p>
          <w:p w14:paraId="30693C80" w14:textId="77777777" w:rsidR="00F95231" w:rsidRDefault="00F95231" w:rsidP="00F95231">
            <w:pPr>
              <w:rPr>
                <w:b/>
                <w:lang w:eastAsia="zh-CN"/>
              </w:rPr>
            </w:pPr>
            <w:r w:rsidRPr="00FF5129">
              <w:rPr>
                <w:b/>
                <w:lang w:eastAsia="zh-CN"/>
              </w:rPr>
              <w:t>Way forward:</w:t>
            </w:r>
          </w:p>
          <w:p w14:paraId="5042CFFE" w14:textId="77777777" w:rsidR="00F95231" w:rsidRPr="00FF5129" w:rsidRDefault="00F95231" w:rsidP="00F95231">
            <w:pPr>
              <w:pStyle w:val="af8"/>
              <w:numPr>
                <w:ilvl w:val="0"/>
                <w:numId w:val="21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 w:rsidRPr="00FF5129">
              <w:rPr>
                <w:rFonts w:eastAsiaTheme="minorEastAsia"/>
                <w:lang w:eastAsia="zh-CN"/>
              </w:rPr>
              <w:t>For the case of single carrier UL with DL intra band CA, the MPR requirements of single carrier case in clause 6.2.2 of TS 38.101-2 applies with UE indication of new capability for MPR improvement.</w:t>
            </w:r>
          </w:p>
          <w:p w14:paraId="6624E291" w14:textId="77777777" w:rsidR="00C23252" w:rsidRPr="00F95231" w:rsidRDefault="00C23252" w:rsidP="00E47495">
            <w:pPr>
              <w:rPr>
                <w:lang w:eastAsia="zh-CN"/>
              </w:rPr>
            </w:pPr>
          </w:p>
        </w:tc>
      </w:tr>
    </w:tbl>
    <w:p w14:paraId="1446DC10" w14:textId="77777777" w:rsidR="00C23252" w:rsidRDefault="00C23252" w:rsidP="00E47495">
      <w:pPr>
        <w:rPr>
          <w:lang w:eastAsia="zh-CN"/>
        </w:rPr>
      </w:pPr>
    </w:p>
    <w:p w14:paraId="039EC88D" w14:textId="29A839BB" w:rsidR="00E47495" w:rsidRDefault="00E47495" w:rsidP="00E47495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25793E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450DDC" w:rsidRPr="00450DDC">
        <w:rPr>
          <w:b/>
          <w:bCs/>
        </w:rPr>
        <w:t>For the case of single carrier UL with DL intra band CA</w:t>
      </w:r>
      <w:r w:rsidR="00450DDC">
        <w:rPr>
          <w:b/>
          <w:bCs/>
        </w:rPr>
        <w:t>, stick to the agreement achieved in R4-2410749</w:t>
      </w:r>
      <w:r w:rsidR="00DD4D27">
        <w:rPr>
          <w:b/>
          <w:bCs/>
        </w:rPr>
        <w:t>.</w:t>
      </w:r>
    </w:p>
    <w:p w14:paraId="16C9645C" w14:textId="35BB84F7" w:rsidR="00A93A3F" w:rsidRDefault="00A93A3F" w:rsidP="00E47495">
      <w:pPr>
        <w:rPr>
          <w:lang w:eastAsia="zh-CN"/>
        </w:rPr>
      </w:pPr>
    </w:p>
    <w:p w14:paraId="75E8BCE3" w14:textId="5E410B54" w:rsidR="00DD4D27" w:rsidRDefault="00AA133D" w:rsidP="00E4749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remaining issue about FR2 MPR applicability </w:t>
      </w:r>
      <w:r w:rsidR="00FE2F35">
        <w:rPr>
          <w:lang w:eastAsia="zh-CN"/>
        </w:rPr>
        <w:t>on</w:t>
      </w:r>
      <w:r>
        <w:rPr>
          <w:lang w:eastAsia="zh-CN"/>
        </w:rPr>
        <w:t xml:space="preserve"> how to deal with the 200MHz BW granularity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A133D" w14:paraId="1099E45F" w14:textId="77777777" w:rsidTr="00AA133D">
        <w:tc>
          <w:tcPr>
            <w:tcW w:w="9622" w:type="dxa"/>
          </w:tcPr>
          <w:p w14:paraId="4F5BF590" w14:textId="77777777" w:rsidR="00AF67E7" w:rsidRPr="00297C16" w:rsidRDefault="00AF67E7" w:rsidP="00AF67E7">
            <w:pPr>
              <w:pStyle w:val="4"/>
              <w:spacing w:before="0" w:after="60"/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</w:pPr>
            <w:r w:rsidRPr="00D17ED8"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  <w:lastRenderedPageBreak/>
              <w:t>Issue 3-2-2:  Applicable MPR for FR2 UL CA with DL intra band CA</w:t>
            </w:r>
          </w:p>
          <w:p w14:paraId="15E880D6" w14:textId="77777777" w:rsidR="00AF67E7" w:rsidRPr="00D17ED8" w:rsidRDefault="00AF67E7" w:rsidP="00AF67E7">
            <w:pPr>
              <w:pStyle w:val="af8"/>
              <w:numPr>
                <w:ilvl w:val="0"/>
                <w:numId w:val="2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17ED8">
              <w:rPr>
                <w:rFonts w:eastAsia="宋体"/>
                <w:color w:val="000000" w:themeColor="text1"/>
                <w:szCs w:val="24"/>
                <w:lang w:eastAsia="zh-CN"/>
              </w:rPr>
              <w:t>WF</w:t>
            </w:r>
          </w:p>
          <w:p w14:paraId="13A35E52" w14:textId="77777777" w:rsidR="00AF67E7" w:rsidRPr="00D17ED8" w:rsidRDefault="00AF67E7" w:rsidP="00AF67E7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color w:val="000000" w:themeColor="text1"/>
                <w:lang w:eastAsia="zh-CN"/>
              </w:rPr>
            </w:pPr>
            <w:r w:rsidRPr="00D17ED8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In general, MPR based on </w:t>
            </w:r>
            <w:r w:rsidRPr="00D17ED8">
              <w:rPr>
                <w:color w:val="000000" w:themeColor="text1"/>
              </w:rPr>
              <w:t xml:space="preserve">UL </w:t>
            </w:r>
            <w:proofErr w:type="spellStart"/>
            <w:r w:rsidRPr="00D17ED8">
              <w:rPr>
                <w:color w:val="000000" w:themeColor="text1"/>
              </w:rPr>
              <w:t>BW</w:t>
            </w:r>
            <w:r w:rsidRPr="00D17ED8">
              <w:rPr>
                <w:color w:val="000000" w:themeColor="text1"/>
                <w:vertAlign w:val="subscript"/>
              </w:rPr>
              <w:t>channel_CA</w:t>
            </w:r>
            <w:proofErr w:type="spellEnd"/>
            <w:r w:rsidRPr="00D17ED8">
              <w:rPr>
                <w:color w:val="000000" w:themeColor="text1"/>
              </w:rPr>
              <w:t xml:space="preserve"> applies instead that based on </w:t>
            </w:r>
            <w:r w:rsidRPr="00D17ED8">
              <w:rPr>
                <w:bCs/>
                <w:color w:val="000000" w:themeColor="text1"/>
              </w:rPr>
              <w:t xml:space="preserve">cumulative aggregated channel BW (CABW) </w:t>
            </w:r>
          </w:p>
          <w:p w14:paraId="7D663BB0" w14:textId="77777777" w:rsidR="00AF67E7" w:rsidRPr="00D17ED8" w:rsidRDefault="00AF67E7" w:rsidP="00AF67E7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color w:val="000000" w:themeColor="text1"/>
                <w:lang w:eastAsia="zh-CN"/>
              </w:rPr>
            </w:pPr>
            <w:r w:rsidRPr="00D17ED8">
              <w:rPr>
                <w:rFonts w:eastAsiaTheme="minorEastAsia"/>
                <w:color w:val="000000" w:themeColor="text1"/>
                <w:lang w:eastAsia="zh-CN"/>
              </w:rPr>
              <w:t>If only 1 UL CC is activated, the MPR requirements of single carrier could be reused</w:t>
            </w:r>
          </w:p>
          <w:p w14:paraId="560CCF37" w14:textId="77777777" w:rsidR="00AF67E7" w:rsidRPr="00AF67E7" w:rsidRDefault="00AF67E7" w:rsidP="00AF67E7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color w:val="000000" w:themeColor="text1"/>
                <w:highlight w:val="yellow"/>
                <w:lang w:eastAsia="zh-CN"/>
              </w:rPr>
            </w:pPr>
            <w:r w:rsidRPr="00D17ED8">
              <w:rPr>
                <w:rFonts w:eastAsiaTheme="minorEastAsia"/>
                <w:color w:val="000000" w:themeColor="text1"/>
                <w:lang w:eastAsia="zh-CN"/>
              </w:rPr>
              <w:t xml:space="preserve">No need to specify new column for &lt;400MHz </w:t>
            </w:r>
            <w:r w:rsidRPr="00D17ED8">
              <w:rPr>
                <w:color w:val="000000" w:themeColor="text1"/>
              </w:rPr>
              <w:t xml:space="preserve">CABW in the MPR table. </w:t>
            </w:r>
            <w:r w:rsidRPr="00AF67E7">
              <w:rPr>
                <w:color w:val="000000" w:themeColor="text1"/>
                <w:highlight w:val="yellow"/>
              </w:rPr>
              <w:t xml:space="preserve">FFS specific spec change to accommodate 200MHz BW granularity </w:t>
            </w:r>
          </w:p>
          <w:p w14:paraId="4476499F" w14:textId="77777777" w:rsidR="00AF67E7" w:rsidRPr="00D17ED8" w:rsidRDefault="00AF67E7" w:rsidP="00AF67E7">
            <w:pPr>
              <w:pStyle w:val="af8"/>
              <w:numPr>
                <w:ilvl w:val="2"/>
                <w:numId w:val="2"/>
              </w:numPr>
              <w:spacing w:after="120"/>
              <w:ind w:firstLineChars="0"/>
              <w:rPr>
                <w:color w:val="000000" w:themeColor="text1"/>
                <w:lang w:eastAsia="zh-CN"/>
              </w:rPr>
            </w:pPr>
            <w:r w:rsidRPr="00D17ED8">
              <w:rPr>
                <w:rFonts w:eastAsiaTheme="minorEastAsia"/>
                <w:color w:val="000000" w:themeColor="text1"/>
                <w:lang w:eastAsia="zh-CN"/>
              </w:rPr>
              <w:t>FFS whether to take the minimum values of MPR between the intra-band CA case and the single carrier for FR2-2</w:t>
            </w:r>
          </w:p>
          <w:p w14:paraId="14BC2310" w14:textId="77777777" w:rsidR="00AA133D" w:rsidRPr="00AF67E7" w:rsidRDefault="00AA133D" w:rsidP="00E47495">
            <w:pPr>
              <w:rPr>
                <w:lang w:eastAsia="zh-CN"/>
              </w:rPr>
            </w:pPr>
          </w:p>
        </w:tc>
      </w:tr>
    </w:tbl>
    <w:p w14:paraId="2370DDF2" w14:textId="77777777" w:rsidR="00AA133D" w:rsidRPr="00AA133D" w:rsidRDefault="00AA133D" w:rsidP="00E47495">
      <w:pPr>
        <w:rPr>
          <w:lang w:eastAsia="zh-CN"/>
        </w:rPr>
      </w:pPr>
    </w:p>
    <w:p w14:paraId="1E5DB8D6" w14:textId="564011F5" w:rsidR="00DD4D27" w:rsidRDefault="00FE2F35" w:rsidP="00E4749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existing MPR requirement for 200MHz BW granularity is as following: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E2F35" w14:paraId="384C6AFC" w14:textId="77777777" w:rsidTr="00B9491E">
        <w:tc>
          <w:tcPr>
            <w:tcW w:w="9622" w:type="dxa"/>
          </w:tcPr>
          <w:p w14:paraId="1C5D6335" w14:textId="77777777" w:rsidR="00FE2F35" w:rsidRPr="00C04A08" w:rsidRDefault="00FE2F35" w:rsidP="00B9491E">
            <w:pPr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 xml:space="preserve">In case of a contiguous RB, DFT-s-BPSK or DFT-s-QPSK UL allocation in a single CC of a CA configuration with contiguous CCs, and whose cumulative aggregated BW </w:t>
            </w:r>
            <w:r w:rsidRPr="00C04A08">
              <w:rPr>
                <w:rFonts w:ascii="Arial" w:eastAsia="Malgun Gothic" w:hAnsi="Arial"/>
                <w:sz w:val="18"/>
              </w:rPr>
              <w:sym w:font="Symbol" w:char="F0A3"/>
            </w:r>
            <w:r w:rsidRPr="00C04A08">
              <w:rPr>
                <w:rFonts w:eastAsia="Malgun Gothic"/>
              </w:rPr>
              <w:t xml:space="preserve"> 400 MHz, MPR</w:t>
            </w:r>
            <w:r w:rsidRPr="00C04A08">
              <w:rPr>
                <w:rFonts w:eastAsia="Malgun Gothic"/>
                <w:vertAlign w:val="subscript"/>
              </w:rPr>
              <w:t>C_CA</w:t>
            </w:r>
            <w:r w:rsidRPr="00C04A08">
              <w:rPr>
                <w:rFonts w:eastAsia="Malgun Gothic"/>
              </w:rPr>
              <w:t xml:space="preserve"> shall be derived instead as </w:t>
            </w:r>
            <w:proofErr w:type="gramStart"/>
            <w:r w:rsidRPr="00C04A08">
              <w:rPr>
                <w:rFonts w:eastAsia="Malgun Gothic"/>
              </w:rPr>
              <w:t>MAX(</w:t>
            </w:r>
            <w:proofErr w:type="gramEnd"/>
            <w:r w:rsidRPr="00C04A08">
              <w:rPr>
                <w:rFonts w:eastAsia="Malgun Gothic"/>
              </w:rPr>
              <w:t>MPR</w:t>
            </w:r>
            <w:r w:rsidRPr="00C04A08">
              <w:rPr>
                <w:rFonts w:eastAsia="Malgun Gothic"/>
                <w:vertAlign w:val="subscript"/>
              </w:rPr>
              <w:t>1</w:t>
            </w:r>
            <w:r w:rsidRPr="00C04A08">
              <w:rPr>
                <w:rFonts w:eastAsia="Malgun Gothic"/>
              </w:rPr>
              <w:t>, MPR</w:t>
            </w:r>
            <w:r w:rsidRPr="00C04A08">
              <w:rPr>
                <w:rFonts w:eastAsia="Malgun Gothic"/>
                <w:vertAlign w:val="subscript"/>
              </w:rPr>
              <w:t>2</w:t>
            </w:r>
            <w:r w:rsidRPr="00C04A08">
              <w:rPr>
                <w:rFonts w:eastAsia="Malgun Gothic"/>
              </w:rPr>
              <w:t xml:space="preserve">), where: </w:t>
            </w:r>
          </w:p>
          <w:p w14:paraId="45B3A313" w14:textId="77777777" w:rsidR="00FE2F35" w:rsidRPr="00C04A08" w:rsidRDefault="00FE2F35" w:rsidP="00B9491E">
            <w:pPr>
              <w:pStyle w:val="B1"/>
            </w:pPr>
            <w:r>
              <w:tab/>
            </w:r>
            <w:r w:rsidRPr="00C04A08">
              <w:t>MPR</w:t>
            </w:r>
            <w:r w:rsidRPr="00C04A08">
              <w:rPr>
                <w:vertAlign w:val="subscript"/>
              </w:rPr>
              <w:t>1</w:t>
            </w:r>
            <w:r w:rsidRPr="00C04A08">
              <w:t xml:space="preserve"> shall be determined from Table 6.2.2.3-1 if CABW </w:t>
            </w:r>
            <w:r w:rsidRPr="00C04A08">
              <w:sym w:font="Symbol" w:char="F0A3"/>
            </w:r>
            <w:r w:rsidRPr="00C04A08">
              <w:t xml:space="preserve"> 200 MHz, from Table 6.2.2.3-2 if CABW &gt; 200 </w:t>
            </w:r>
            <w:proofErr w:type="spellStart"/>
            <w:r w:rsidRPr="00C04A08">
              <w:t>MHz.</w:t>
            </w:r>
            <w:proofErr w:type="spellEnd"/>
            <w:r w:rsidRPr="00C04A08">
              <w:t xml:space="preserve"> </w:t>
            </w:r>
          </w:p>
          <w:p w14:paraId="1783D9EF" w14:textId="77777777" w:rsidR="00FE2F35" w:rsidRPr="00CA50D0" w:rsidRDefault="00FE2F35" w:rsidP="00B9491E">
            <w:pPr>
              <w:pStyle w:val="B1"/>
              <w:rPr>
                <w:lang w:eastAsia="zh-CN"/>
              </w:rPr>
            </w:pPr>
            <w:r>
              <w:tab/>
            </w:r>
            <w:r w:rsidRPr="00A61623">
              <w:t>MPR</w:t>
            </w:r>
            <w:r w:rsidRPr="00A61623">
              <w:rPr>
                <w:vertAlign w:val="subscript"/>
              </w:rPr>
              <w:t>2</w:t>
            </w:r>
            <w:r w:rsidRPr="00A61623">
              <w:t xml:space="preserve"> shall be determined from Table 6.2.2.3-1 if </w:t>
            </w:r>
            <w:r>
              <w:t xml:space="preserve">UL </w:t>
            </w:r>
            <w:proofErr w:type="spellStart"/>
            <w:r w:rsidRPr="00A61623">
              <w:t>BW</w:t>
            </w:r>
            <w:r w:rsidRPr="00A61623">
              <w:rPr>
                <w:vertAlign w:val="subscript"/>
              </w:rPr>
              <w:t>channel_CA</w:t>
            </w:r>
            <w:proofErr w:type="spellEnd"/>
            <w:r w:rsidRPr="00A61623">
              <w:t xml:space="preserve"> </w:t>
            </w:r>
            <w:r w:rsidRPr="00A61623">
              <w:sym w:font="Symbol" w:char="F0A3"/>
            </w:r>
            <w:r w:rsidRPr="00A61623">
              <w:t xml:space="preserve"> 200 MHz, from Table 6.2.2.3-2 if </w:t>
            </w:r>
            <w:r>
              <w:t xml:space="preserve">UL </w:t>
            </w:r>
            <w:proofErr w:type="spellStart"/>
            <w:r w:rsidRPr="00A61623">
              <w:t>BW</w:t>
            </w:r>
            <w:r w:rsidRPr="00A61623">
              <w:rPr>
                <w:vertAlign w:val="subscript"/>
              </w:rPr>
              <w:t>channel_CA</w:t>
            </w:r>
            <w:proofErr w:type="spellEnd"/>
            <w:r w:rsidRPr="00A61623">
              <w:t xml:space="preserve"> &gt; 200 </w:t>
            </w:r>
            <w:proofErr w:type="spellStart"/>
            <w:r w:rsidRPr="00A61623">
              <w:t>MHz.</w:t>
            </w:r>
            <w:proofErr w:type="spellEnd"/>
            <w:r w:rsidRPr="00A61623">
              <w:t xml:space="preserve"> </w:t>
            </w:r>
          </w:p>
        </w:tc>
      </w:tr>
    </w:tbl>
    <w:p w14:paraId="66B1121F" w14:textId="77777777" w:rsidR="00FE2F35" w:rsidRDefault="00FE2F35" w:rsidP="00FE2F35">
      <w:pPr>
        <w:rPr>
          <w:lang w:eastAsia="zh-CN"/>
        </w:rPr>
      </w:pPr>
    </w:p>
    <w:p w14:paraId="118626EF" w14:textId="640CA5C3" w:rsidR="009B02A7" w:rsidRPr="00CA50D0" w:rsidRDefault="009B02A7" w:rsidP="009B02A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proposed in our contribution to last meeting [3, </w:t>
      </w:r>
      <w:r w:rsidR="00A376F0">
        <w:rPr>
          <w:lang w:eastAsia="zh-CN"/>
        </w:rPr>
        <w:t>2411693</w:t>
      </w:r>
      <w:r>
        <w:rPr>
          <w:lang w:eastAsia="zh-CN"/>
        </w:rPr>
        <w:t xml:space="preserve">], only a small change is needed, i.e. change the MPR calculation from </w:t>
      </w:r>
      <w:r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>
        <w:rPr>
          <w:b/>
          <w:bCs/>
          <w:lang w:eastAsia="zh-CN"/>
        </w:rPr>
        <w:t xml:space="preserve"> </w:t>
      </w:r>
      <w:r w:rsidRPr="00CA50D0">
        <w:rPr>
          <w:b/>
          <w:bCs/>
          <w:lang w:eastAsia="zh-CN"/>
        </w:rPr>
        <w:t xml:space="preserve">= </w:t>
      </w:r>
      <w:proofErr w:type="gramStart"/>
      <w:r w:rsidRPr="00CA50D0">
        <w:rPr>
          <w:rFonts w:eastAsia="Malgun Gothic"/>
          <w:b/>
          <w:bCs/>
        </w:rPr>
        <w:t>MAX(</w:t>
      </w:r>
      <w:proofErr w:type="gramEnd"/>
      <w:r w:rsidRPr="00CA50D0">
        <w:rPr>
          <w:rFonts w:eastAsia="Malgun Gothic"/>
          <w:b/>
          <w:bCs/>
        </w:rPr>
        <w:t>MPR</w:t>
      </w:r>
      <w:r w:rsidRPr="00CA50D0">
        <w:rPr>
          <w:rFonts w:eastAsia="Malgun Gothic"/>
          <w:b/>
          <w:bCs/>
          <w:vertAlign w:val="subscript"/>
        </w:rPr>
        <w:t>1</w:t>
      </w:r>
      <w:r w:rsidRPr="00CA50D0">
        <w:rPr>
          <w:rFonts w:eastAsia="Malgun Gothic"/>
          <w:b/>
          <w:bCs/>
        </w:rPr>
        <w:t>, MPR</w:t>
      </w:r>
      <w:r w:rsidRPr="00CA50D0">
        <w:rPr>
          <w:rFonts w:eastAsia="Malgun Gothic"/>
          <w:b/>
          <w:bCs/>
          <w:vertAlign w:val="subscript"/>
        </w:rPr>
        <w:t>2</w:t>
      </w:r>
      <w:r w:rsidRPr="00CA50D0">
        <w:rPr>
          <w:rFonts w:eastAsia="Malgun Gothic"/>
          <w:b/>
          <w:bCs/>
        </w:rPr>
        <w:t>)</w:t>
      </w:r>
      <w:r>
        <w:rPr>
          <w:rFonts w:eastAsia="Malgun Gothic"/>
          <w:b/>
          <w:bCs/>
        </w:rPr>
        <w:t xml:space="preserve"> </w:t>
      </w:r>
      <w:r w:rsidRPr="001441FA">
        <w:rPr>
          <w:rFonts w:eastAsia="Malgun Gothic"/>
        </w:rPr>
        <w:t>to</w:t>
      </w:r>
      <w:r>
        <w:rPr>
          <w:rFonts w:eastAsia="Malgun Gothic"/>
          <w:b/>
          <w:bCs/>
        </w:rPr>
        <w:t xml:space="preserve"> </w:t>
      </w:r>
      <w:r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>
        <w:rPr>
          <w:b/>
          <w:bCs/>
          <w:lang w:eastAsia="zh-CN"/>
        </w:rPr>
        <w:t xml:space="preserve"> </w:t>
      </w:r>
      <w:r w:rsidRPr="00CA50D0">
        <w:rPr>
          <w:b/>
          <w:bCs/>
          <w:lang w:eastAsia="zh-CN"/>
        </w:rPr>
        <w:t xml:space="preserve">= </w:t>
      </w:r>
      <w:r w:rsidRPr="00CA50D0">
        <w:rPr>
          <w:rFonts w:eastAsia="Malgun Gothic"/>
          <w:b/>
          <w:bCs/>
        </w:rPr>
        <w:t>MPR</w:t>
      </w:r>
      <w:r w:rsidRPr="00CA50D0">
        <w:rPr>
          <w:rFonts w:eastAsia="Malgun Gothic"/>
          <w:b/>
          <w:bCs/>
          <w:vertAlign w:val="subscript"/>
        </w:rPr>
        <w:t>2</w:t>
      </w:r>
      <w:r>
        <w:rPr>
          <w:rFonts w:eastAsia="Malgun Gothic"/>
          <w:b/>
          <w:bCs/>
          <w:vertAlign w:val="subscript"/>
        </w:rPr>
        <w:t>,</w:t>
      </w:r>
      <w:r>
        <w:rPr>
          <w:lang w:eastAsia="zh-CN"/>
        </w:rPr>
        <w:t xml:space="preserve"> for UE </w:t>
      </w:r>
      <w:r w:rsidRPr="00FF5129">
        <w:rPr>
          <w:rFonts w:eastAsiaTheme="minorEastAsia"/>
          <w:lang w:eastAsia="zh-CN"/>
        </w:rPr>
        <w:t>with UE indication of new capability for MPR improvement</w:t>
      </w:r>
      <w:r>
        <w:rPr>
          <w:rFonts w:eastAsiaTheme="minorEastAsia"/>
          <w:lang w:eastAsia="zh-CN"/>
        </w:rPr>
        <w:t>.</w:t>
      </w:r>
    </w:p>
    <w:p w14:paraId="3DB82181" w14:textId="537F635A" w:rsidR="00410AA7" w:rsidRDefault="00410AA7" w:rsidP="00410AA7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For 200MHz BW granularity, RAN</w:t>
      </w:r>
      <w:r w:rsidR="00445E14">
        <w:rPr>
          <w:b/>
          <w:bCs/>
        </w:rPr>
        <w:t>4</w:t>
      </w:r>
      <w:r w:rsidRPr="001441FA">
        <w:rPr>
          <w:b/>
          <w:bCs/>
        </w:rPr>
        <w:t xml:space="preserve"> to change the MPR calculation for DFT-s-BPSK or DFT-s-QPSK from </w:t>
      </w:r>
      <w:r>
        <w:rPr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proofErr w:type="gramStart"/>
      <w:r w:rsidRPr="001441FA">
        <w:rPr>
          <w:rFonts w:eastAsia="Malgun Gothic"/>
          <w:b/>
          <w:bCs/>
        </w:rPr>
        <w:t>MAX(</w:t>
      </w:r>
      <w:proofErr w:type="gramEnd"/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1</w:t>
      </w:r>
      <w:r w:rsidRPr="001441FA">
        <w:rPr>
          <w:rFonts w:eastAsia="Malgun Gothic"/>
          <w:b/>
          <w:bCs/>
        </w:rPr>
        <w:t>, MPR</w:t>
      </w:r>
      <w:r w:rsidRPr="001441FA">
        <w:rPr>
          <w:rFonts w:eastAsia="Malgun Gothic"/>
          <w:b/>
          <w:bCs/>
          <w:vertAlign w:val="subscript"/>
        </w:rPr>
        <w:t>2</w:t>
      </w:r>
      <w:r w:rsidRPr="001441FA">
        <w:rPr>
          <w:rFonts w:eastAsia="Malgun Gothic"/>
          <w:b/>
          <w:bCs/>
        </w:rPr>
        <w:t>)</w:t>
      </w:r>
      <w:r>
        <w:rPr>
          <w:rFonts w:eastAsia="Malgun Gothic"/>
          <w:b/>
          <w:bCs/>
        </w:rPr>
        <w:t>”</w:t>
      </w:r>
      <w:r w:rsidRPr="001441FA">
        <w:rPr>
          <w:rFonts w:eastAsia="Malgun Gothic"/>
          <w:b/>
          <w:bCs/>
        </w:rPr>
        <w:t xml:space="preserve"> to </w:t>
      </w:r>
      <w:r>
        <w:rPr>
          <w:rFonts w:eastAsia="Malgun Gothic"/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2</w:t>
      </w:r>
      <w:r>
        <w:rPr>
          <w:b/>
          <w:bCs/>
          <w:lang w:eastAsia="zh-CN"/>
        </w:rPr>
        <w:t xml:space="preserve">”, </w:t>
      </w:r>
      <w:r w:rsidRPr="001441FA">
        <w:rPr>
          <w:b/>
          <w:bCs/>
          <w:lang w:eastAsia="zh-CN"/>
        </w:rPr>
        <w:t xml:space="preserve">for UE </w:t>
      </w:r>
      <w:r w:rsidRPr="001441FA">
        <w:rPr>
          <w:rFonts w:eastAsiaTheme="minorEastAsia"/>
          <w:b/>
          <w:bCs/>
          <w:lang w:eastAsia="zh-CN"/>
        </w:rPr>
        <w:t>with UE indication of new capability for MPR improvement.</w:t>
      </w:r>
    </w:p>
    <w:p w14:paraId="7220A6B3" w14:textId="77777777" w:rsidR="00DD4D27" w:rsidRDefault="00DD4D27" w:rsidP="00E47495">
      <w:pPr>
        <w:rPr>
          <w:lang w:eastAsia="zh-CN"/>
        </w:rPr>
      </w:pPr>
    </w:p>
    <w:p w14:paraId="25203B19" w14:textId="3615A17C" w:rsidR="00A93A3F" w:rsidRDefault="00A93A3F" w:rsidP="00A93A3F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 UE capabilit</w:t>
      </w:r>
      <w:r w:rsidR="00195ABC">
        <w:rPr>
          <w:lang w:eastAsia="zh-CN"/>
        </w:rPr>
        <w:t>y and other issues</w:t>
      </w:r>
    </w:p>
    <w:p w14:paraId="110D1A86" w14:textId="3EC96B2A" w:rsidR="00A93A3F" w:rsidRDefault="00C91A60" w:rsidP="00E4749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last meeting, details of UE capability were extensively discussed.</w:t>
      </w:r>
      <w:r w:rsidR="00DE3E8E">
        <w:rPr>
          <w:lang w:eastAsia="zh-CN"/>
        </w:rPr>
        <w:t xml:space="preserve"> In our understanding, </w:t>
      </w:r>
      <w:r w:rsidR="00240610">
        <w:rPr>
          <w:lang w:eastAsia="zh-CN"/>
        </w:rPr>
        <w:t xml:space="preserve">an optional UE capability is needed to distinguish </w:t>
      </w:r>
      <w:r w:rsidR="00263A3E">
        <w:rPr>
          <w:lang w:eastAsia="zh-CN"/>
        </w:rPr>
        <w:t xml:space="preserve">normal Rel-19 UE and FR2 MPR enhanced Rel-19 UE. Given the assumption is that the MPR enhanced UE is equipped with separate LO for RX and TX respectively, </w:t>
      </w:r>
      <w:r w:rsidR="00F075E2">
        <w:rPr>
          <w:lang w:eastAsia="zh-CN"/>
        </w:rPr>
        <w:t>this capability can be a per UE capability.</w:t>
      </w:r>
    </w:p>
    <w:p w14:paraId="50210D63" w14:textId="498A1679" w:rsidR="00F075E2" w:rsidRDefault="00F075E2" w:rsidP="00E47495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the other hand, though the enhanced MPR is derived based on separate LO assumption, it does not mean UE has to </w:t>
      </w:r>
      <w:r w:rsidR="00473843">
        <w:rPr>
          <w:lang w:eastAsia="zh-CN"/>
        </w:rPr>
        <w:t>adopt such specific implementation. As RAN4 usual practice, the new UE capability should be implementation agnostic.</w:t>
      </w:r>
    </w:p>
    <w:p w14:paraId="48819DB2" w14:textId="7B4EDC98" w:rsidR="00E30875" w:rsidRDefault="00E30875" w:rsidP="00E3087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An optional new UE capability is needed, which can be per UE for FR2</w:t>
      </w:r>
      <w:r w:rsidR="00022648">
        <w:rPr>
          <w:b/>
          <w:bCs/>
        </w:rPr>
        <w:t xml:space="preserve"> and should be implementation agnostic.</w:t>
      </w:r>
    </w:p>
    <w:p w14:paraId="158983F3" w14:textId="445B6272" w:rsidR="00F075E2" w:rsidRDefault="00754013" w:rsidP="00E47495">
      <w:pPr>
        <w:rPr>
          <w:lang w:eastAsia="zh-CN"/>
        </w:rPr>
      </w:pPr>
      <w:r>
        <w:rPr>
          <w:rFonts w:hint="eastAsia"/>
          <w:lang w:eastAsia="zh-CN"/>
        </w:rPr>
        <w:t>Given</w:t>
      </w:r>
      <w:r>
        <w:rPr>
          <w:lang w:eastAsia="zh-CN"/>
        </w:rPr>
        <w:t xml:space="preserve"> hardware </w:t>
      </w:r>
      <w:r w:rsidR="00A23FD7">
        <w:rPr>
          <w:lang w:eastAsia="zh-CN"/>
        </w:rPr>
        <w:t>enhanc</w:t>
      </w:r>
      <w:r w:rsidR="00B277BB">
        <w:rPr>
          <w:lang w:eastAsia="zh-CN"/>
        </w:rPr>
        <w:t>ement</w:t>
      </w:r>
      <w:r w:rsidR="00A23FD7">
        <w:rPr>
          <w:lang w:eastAsia="zh-CN"/>
        </w:rPr>
        <w:t xml:space="preserve"> is expected to support this enhancement, it would be reasonable to specify this new capability without release independence.</w:t>
      </w:r>
    </w:p>
    <w:p w14:paraId="101EE5A7" w14:textId="70FBFC40" w:rsidR="00A23FD7" w:rsidRDefault="00A23FD7" w:rsidP="00A23FD7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EE1326">
        <w:rPr>
          <w:b/>
          <w:bCs/>
        </w:rPr>
        <w:t>The new UE capability of supporting FR2 MPR enhancement is not release independent</w:t>
      </w:r>
      <w:r>
        <w:rPr>
          <w:b/>
          <w:bCs/>
        </w:rPr>
        <w:t>.</w:t>
      </w:r>
    </w:p>
    <w:p w14:paraId="06599C17" w14:textId="11ED5DBF" w:rsidR="001441FA" w:rsidRDefault="001441FA" w:rsidP="001441FA">
      <w:pPr>
        <w:spacing w:after="120"/>
        <w:ind w:left="1418" w:hanging="1418"/>
        <w:rPr>
          <w:b/>
          <w:bCs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3207F186" w14:textId="77777777" w:rsidR="00F015E5" w:rsidRDefault="00F015E5" w:rsidP="00F015E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50DDC">
        <w:rPr>
          <w:b/>
          <w:bCs/>
        </w:rPr>
        <w:t>For the case of single carrier UL with DL intra band CA</w:t>
      </w:r>
      <w:r>
        <w:rPr>
          <w:b/>
          <w:bCs/>
        </w:rPr>
        <w:t>, stick to the agreement achieved in R4-2410749.</w:t>
      </w:r>
    </w:p>
    <w:p w14:paraId="0C1F633A" w14:textId="77777777" w:rsidR="00F015E5" w:rsidRDefault="00F015E5" w:rsidP="00F015E5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For 200MHz BW granularity, RAN4</w:t>
      </w:r>
      <w:r w:rsidRPr="001441FA">
        <w:rPr>
          <w:b/>
          <w:bCs/>
        </w:rPr>
        <w:t xml:space="preserve"> to change the MPR calculation for DFT-s-BPSK or DFT-s-QPSK from </w:t>
      </w:r>
      <w:r>
        <w:rPr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proofErr w:type="gramStart"/>
      <w:r w:rsidRPr="001441FA">
        <w:rPr>
          <w:rFonts w:eastAsia="Malgun Gothic"/>
          <w:b/>
          <w:bCs/>
        </w:rPr>
        <w:t>MAX(</w:t>
      </w:r>
      <w:proofErr w:type="gramEnd"/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1</w:t>
      </w:r>
      <w:r w:rsidRPr="001441FA">
        <w:rPr>
          <w:rFonts w:eastAsia="Malgun Gothic"/>
          <w:b/>
          <w:bCs/>
        </w:rPr>
        <w:t>, MPR</w:t>
      </w:r>
      <w:r w:rsidRPr="001441FA">
        <w:rPr>
          <w:rFonts w:eastAsia="Malgun Gothic"/>
          <w:b/>
          <w:bCs/>
          <w:vertAlign w:val="subscript"/>
        </w:rPr>
        <w:t>2</w:t>
      </w:r>
      <w:r w:rsidRPr="001441FA">
        <w:rPr>
          <w:rFonts w:eastAsia="Malgun Gothic"/>
          <w:b/>
          <w:bCs/>
        </w:rPr>
        <w:t>)</w:t>
      </w:r>
      <w:r>
        <w:rPr>
          <w:rFonts w:eastAsia="Malgun Gothic"/>
          <w:b/>
          <w:bCs/>
        </w:rPr>
        <w:t>”</w:t>
      </w:r>
      <w:r w:rsidRPr="001441FA">
        <w:rPr>
          <w:rFonts w:eastAsia="Malgun Gothic"/>
          <w:b/>
          <w:bCs/>
        </w:rPr>
        <w:t xml:space="preserve"> to </w:t>
      </w:r>
      <w:r>
        <w:rPr>
          <w:rFonts w:eastAsia="Malgun Gothic"/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2</w:t>
      </w:r>
      <w:r>
        <w:rPr>
          <w:b/>
          <w:bCs/>
          <w:lang w:eastAsia="zh-CN"/>
        </w:rPr>
        <w:t xml:space="preserve">”, </w:t>
      </w:r>
      <w:r w:rsidRPr="001441FA">
        <w:rPr>
          <w:b/>
          <w:bCs/>
          <w:lang w:eastAsia="zh-CN"/>
        </w:rPr>
        <w:t xml:space="preserve">for UE </w:t>
      </w:r>
      <w:r w:rsidRPr="001441FA">
        <w:rPr>
          <w:rFonts w:eastAsiaTheme="minorEastAsia"/>
          <w:b/>
          <w:bCs/>
          <w:lang w:eastAsia="zh-CN"/>
        </w:rPr>
        <w:t>with UE indication of new capability for MPR improvement.</w:t>
      </w:r>
    </w:p>
    <w:p w14:paraId="420D67CD" w14:textId="77777777" w:rsidR="00F015E5" w:rsidRDefault="00F015E5" w:rsidP="00F015E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An optional new UE capability is needed, which can be per UE for FR2 and should be implementation agnostic.</w:t>
      </w:r>
    </w:p>
    <w:p w14:paraId="0C8E5336" w14:textId="77777777" w:rsidR="00F015E5" w:rsidRDefault="00F015E5" w:rsidP="00F015E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The new UE capability of supporting FR2 MPR enhancement is not release independent.</w:t>
      </w:r>
    </w:p>
    <w:p w14:paraId="1FB02C5F" w14:textId="77777777" w:rsidR="00BE211B" w:rsidRPr="00F015E5" w:rsidRDefault="00BE211B" w:rsidP="000929D3">
      <w:pPr>
        <w:spacing w:after="120"/>
        <w:ind w:left="1418" w:hanging="1418"/>
        <w:rPr>
          <w:b/>
          <w:bCs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E2709DD" w14:textId="5700B72F" w:rsidR="00AC2B4C" w:rsidRPr="00AC2B4C" w:rsidRDefault="00AC2B4C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AC2B4C">
        <w:rPr>
          <w:lang w:val="en-US"/>
        </w:rPr>
        <w:t>R4-2414441</w:t>
      </w:r>
      <w:r>
        <w:rPr>
          <w:lang w:val="en-US"/>
        </w:rPr>
        <w:t xml:space="preserve">  </w:t>
      </w:r>
      <w:proofErr w:type="gramStart"/>
      <w:r w:rsidR="0063259B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63259B">
        <w:rPr>
          <w:lang w:val="en-US"/>
        </w:rPr>
        <w:t>“</w:t>
      </w:r>
      <w:proofErr w:type="gramEnd"/>
      <w:r w:rsidR="0063259B" w:rsidRPr="0063259B">
        <w:rPr>
          <w:lang w:val="en-US"/>
        </w:rPr>
        <w:t>WF on power domain enhancements</w:t>
      </w:r>
      <w:r w:rsidR="0063259B">
        <w:rPr>
          <w:lang w:val="en-US"/>
        </w:rPr>
        <w:t>”</w:t>
      </w:r>
      <w:r w:rsidR="0063259B" w:rsidRPr="00C30BF0">
        <w:rPr>
          <w:lang w:eastAsia="zh-CN"/>
        </w:rPr>
        <w:t xml:space="preserve">, Huawei, </w:t>
      </w:r>
      <w:proofErr w:type="spellStart"/>
      <w:r w:rsidR="0063259B" w:rsidRPr="00C30BF0">
        <w:rPr>
          <w:lang w:eastAsia="zh-CN"/>
        </w:rPr>
        <w:t>HiSilicon</w:t>
      </w:r>
      <w:proofErr w:type="spellEnd"/>
    </w:p>
    <w:p w14:paraId="6E6A81B5" w14:textId="54401510" w:rsidR="002A346D" w:rsidRPr="00A376F0" w:rsidRDefault="00C30BF0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 xml:space="preserve">R4-2410749  </w:t>
      </w:r>
      <w:proofErr w:type="gramStart"/>
      <w:r>
        <w:rPr>
          <w:lang w:eastAsia="zh-CN"/>
        </w:rPr>
        <w:t xml:space="preserve">   “</w:t>
      </w:r>
      <w:proofErr w:type="gramEnd"/>
      <w:r w:rsidRPr="00C30BF0">
        <w:rPr>
          <w:lang w:eastAsia="zh-CN"/>
        </w:rPr>
        <w:t xml:space="preserve">WF on power domain enhancements”, Huawei, </w:t>
      </w:r>
      <w:proofErr w:type="spellStart"/>
      <w:r w:rsidRPr="00C30BF0">
        <w:rPr>
          <w:lang w:eastAsia="zh-CN"/>
        </w:rPr>
        <w:t>HiSilicon</w:t>
      </w:r>
      <w:proofErr w:type="spellEnd"/>
    </w:p>
    <w:p w14:paraId="5EDB3AC6" w14:textId="0C88FD20" w:rsidR="00B60700" w:rsidRPr="00E81ECB" w:rsidRDefault="00A376F0" w:rsidP="00E81ECB">
      <w:pPr>
        <w:pStyle w:val="af8"/>
        <w:numPr>
          <w:ilvl w:val="0"/>
          <w:numId w:val="1"/>
        </w:numPr>
        <w:ind w:firstLineChars="0"/>
        <w:rPr>
          <w:rFonts w:hint="eastAsia"/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4-2411693  </w:t>
      </w:r>
      <w:proofErr w:type="gramStart"/>
      <w:r>
        <w:rPr>
          <w:lang w:eastAsia="zh-CN"/>
        </w:rPr>
        <w:t xml:space="preserve">   “</w:t>
      </w:r>
      <w:proofErr w:type="gramEnd"/>
      <w:r w:rsidR="00445E14" w:rsidRPr="00445E14">
        <w:rPr>
          <w:lang w:eastAsia="zh-CN"/>
        </w:rPr>
        <w:t>Discussion on MPR reduction for FR2 CA</w:t>
      </w:r>
      <w:r w:rsidR="00445E14">
        <w:rPr>
          <w:lang w:eastAsia="zh-CN"/>
        </w:rPr>
        <w:t>”, Samsung</w:t>
      </w:r>
    </w:p>
    <w:sectPr w:rsidR="00B60700" w:rsidRPr="00E81EC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945E5" w14:textId="77777777" w:rsidR="008A34AD" w:rsidRDefault="008A34AD" w:rsidP="00707BAC">
      <w:pPr>
        <w:spacing w:after="0"/>
      </w:pPr>
      <w:r>
        <w:separator/>
      </w:r>
    </w:p>
  </w:endnote>
  <w:endnote w:type="continuationSeparator" w:id="0">
    <w:p w14:paraId="1B8F82C2" w14:textId="77777777" w:rsidR="008A34AD" w:rsidRDefault="008A34AD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C8E74" w14:textId="77777777" w:rsidR="008A34AD" w:rsidRDefault="008A34AD" w:rsidP="00707BAC">
      <w:pPr>
        <w:spacing w:after="0"/>
      </w:pPr>
      <w:r>
        <w:separator/>
      </w:r>
    </w:p>
  </w:footnote>
  <w:footnote w:type="continuationSeparator" w:id="0">
    <w:p w14:paraId="79CADF6B" w14:textId="77777777" w:rsidR="008A34AD" w:rsidRDefault="008A34AD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6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2"/>
  </w:num>
  <w:num w:numId="5">
    <w:abstractNumId w:val="20"/>
  </w:num>
  <w:num w:numId="6">
    <w:abstractNumId w:val="16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17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6"/>
  </w:num>
  <w:num w:numId="18">
    <w:abstractNumId w:val="0"/>
  </w:num>
  <w:num w:numId="19">
    <w:abstractNumId w:val="19"/>
  </w:num>
  <w:num w:numId="20">
    <w:abstractNumId w:val="15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09BE"/>
    <w:rsid w:val="00015132"/>
    <w:rsid w:val="000174F7"/>
    <w:rsid w:val="00017524"/>
    <w:rsid w:val="00017C8C"/>
    <w:rsid w:val="00020DB5"/>
    <w:rsid w:val="000213D1"/>
    <w:rsid w:val="00021CED"/>
    <w:rsid w:val="00022648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E36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B92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26B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1FA"/>
    <w:rsid w:val="00144917"/>
    <w:rsid w:val="00144F7C"/>
    <w:rsid w:val="00144FDD"/>
    <w:rsid w:val="00144FEC"/>
    <w:rsid w:val="00146612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1E77"/>
    <w:rsid w:val="001735AE"/>
    <w:rsid w:val="00173973"/>
    <w:rsid w:val="001744FE"/>
    <w:rsid w:val="001761E9"/>
    <w:rsid w:val="00176AE3"/>
    <w:rsid w:val="00176BE7"/>
    <w:rsid w:val="00177E2D"/>
    <w:rsid w:val="00180A49"/>
    <w:rsid w:val="00180BAA"/>
    <w:rsid w:val="0018184B"/>
    <w:rsid w:val="00183AE5"/>
    <w:rsid w:val="00186928"/>
    <w:rsid w:val="00190E68"/>
    <w:rsid w:val="001927C1"/>
    <w:rsid w:val="001940AA"/>
    <w:rsid w:val="00194778"/>
    <w:rsid w:val="00195ABC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DE8"/>
    <w:rsid w:val="00222E28"/>
    <w:rsid w:val="002267B2"/>
    <w:rsid w:val="00227E7B"/>
    <w:rsid w:val="00230F99"/>
    <w:rsid w:val="00233574"/>
    <w:rsid w:val="002337D2"/>
    <w:rsid w:val="0023444E"/>
    <w:rsid w:val="00235EE7"/>
    <w:rsid w:val="0023732F"/>
    <w:rsid w:val="0023778F"/>
    <w:rsid w:val="00240610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7B0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93E"/>
    <w:rsid w:val="0026064B"/>
    <w:rsid w:val="002611B2"/>
    <w:rsid w:val="0026183D"/>
    <w:rsid w:val="00261A10"/>
    <w:rsid w:val="00262F34"/>
    <w:rsid w:val="00263A3E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3AE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46D"/>
    <w:rsid w:val="002A35C0"/>
    <w:rsid w:val="002A5280"/>
    <w:rsid w:val="002A7838"/>
    <w:rsid w:val="002B09A1"/>
    <w:rsid w:val="002B1D52"/>
    <w:rsid w:val="002B25D9"/>
    <w:rsid w:val="002B2704"/>
    <w:rsid w:val="002B3F06"/>
    <w:rsid w:val="002B460D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E45"/>
    <w:rsid w:val="002E00C3"/>
    <w:rsid w:val="002E1105"/>
    <w:rsid w:val="002E332E"/>
    <w:rsid w:val="002E36E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823"/>
    <w:rsid w:val="00314F38"/>
    <w:rsid w:val="003158CE"/>
    <w:rsid w:val="003174D1"/>
    <w:rsid w:val="003179B9"/>
    <w:rsid w:val="00317D5B"/>
    <w:rsid w:val="0032045F"/>
    <w:rsid w:val="003213CD"/>
    <w:rsid w:val="00322CA9"/>
    <w:rsid w:val="00322F45"/>
    <w:rsid w:val="00323A7E"/>
    <w:rsid w:val="00324296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4EA"/>
    <w:rsid w:val="003B4BF2"/>
    <w:rsid w:val="003B5696"/>
    <w:rsid w:val="003B648C"/>
    <w:rsid w:val="003B68D7"/>
    <w:rsid w:val="003B6ABE"/>
    <w:rsid w:val="003B6B02"/>
    <w:rsid w:val="003B6F17"/>
    <w:rsid w:val="003C146A"/>
    <w:rsid w:val="003C19FC"/>
    <w:rsid w:val="003C3383"/>
    <w:rsid w:val="003C3B47"/>
    <w:rsid w:val="003C412A"/>
    <w:rsid w:val="003C6B5E"/>
    <w:rsid w:val="003C6DE2"/>
    <w:rsid w:val="003C6E6F"/>
    <w:rsid w:val="003D15E3"/>
    <w:rsid w:val="003D1FB3"/>
    <w:rsid w:val="003D4428"/>
    <w:rsid w:val="003D570B"/>
    <w:rsid w:val="003D5A84"/>
    <w:rsid w:val="003D6A23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B8D"/>
    <w:rsid w:val="003F0FC3"/>
    <w:rsid w:val="003F1BEE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DAE"/>
    <w:rsid w:val="004062E5"/>
    <w:rsid w:val="00407CB8"/>
    <w:rsid w:val="00410801"/>
    <w:rsid w:val="00410AA7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5E14"/>
    <w:rsid w:val="0044617F"/>
    <w:rsid w:val="004509CB"/>
    <w:rsid w:val="00450DDC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843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F46"/>
    <w:rsid w:val="00493943"/>
    <w:rsid w:val="00496FBC"/>
    <w:rsid w:val="004978EF"/>
    <w:rsid w:val="00497F17"/>
    <w:rsid w:val="004A1643"/>
    <w:rsid w:val="004A16AE"/>
    <w:rsid w:val="004A3395"/>
    <w:rsid w:val="004A409E"/>
    <w:rsid w:val="004A540D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EE5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07056"/>
    <w:rsid w:val="00510657"/>
    <w:rsid w:val="005119D3"/>
    <w:rsid w:val="005120D5"/>
    <w:rsid w:val="00512479"/>
    <w:rsid w:val="00513C94"/>
    <w:rsid w:val="005160BC"/>
    <w:rsid w:val="00516961"/>
    <w:rsid w:val="00521539"/>
    <w:rsid w:val="005216C8"/>
    <w:rsid w:val="005257BF"/>
    <w:rsid w:val="005259C8"/>
    <w:rsid w:val="005266F8"/>
    <w:rsid w:val="0052739E"/>
    <w:rsid w:val="005275C4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5E48"/>
    <w:rsid w:val="00626CD9"/>
    <w:rsid w:val="0062704B"/>
    <w:rsid w:val="00627153"/>
    <w:rsid w:val="006304A4"/>
    <w:rsid w:val="006314A0"/>
    <w:rsid w:val="006316FE"/>
    <w:rsid w:val="006324CD"/>
    <w:rsid w:val="0063259B"/>
    <w:rsid w:val="00633513"/>
    <w:rsid w:val="006360DE"/>
    <w:rsid w:val="006405E9"/>
    <w:rsid w:val="00641460"/>
    <w:rsid w:val="00643D0F"/>
    <w:rsid w:val="00643DFE"/>
    <w:rsid w:val="006443D3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72061"/>
    <w:rsid w:val="006729D3"/>
    <w:rsid w:val="00673BA6"/>
    <w:rsid w:val="006747F3"/>
    <w:rsid w:val="00674D9B"/>
    <w:rsid w:val="00675BB6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0C98"/>
    <w:rsid w:val="006C14EE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5B3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0597"/>
    <w:rsid w:val="007511CF"/>
    <w:rsid w:val="0075205B"/>
    <w:rsid w:val="00752554"/>
    <w:rsid w:val="00753BFB"/>
    <w:rsid w:val="00754013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07DD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1641"/>
    <w:rsid w:val="00811750"/>
    <w:rsid w:val="00811C4E"/>
    <w:rsid w:val="00811E73"/>
    <w:rsid w:val="00813119"/>
    <w:rsid w:val="00813179"/>
    <w:rsid w:val="00813F6D"/>
    <w:rsid w:val="00816A2B"/>
    <w:rsid w:val="0081767F"/>
    <w:rsid w:val="008231EE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34AD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1E99"/>
    <w:rsid w:val="00942135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49B6"/>
    <w:rsid w:val="009A5E26"/>
    <w:rsid w:val="009A61CD"/>
    <w:rsid w:val="009A61D5"/>
    <w:rsid w:val="009A65CD"/>
    <w:rsid w:val="009A6E69"/>
    <w:rsid w:val="009B02A7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105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C30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5E75"/>
    <w:rsid w:val="00A167BE"/>
    <w:rsid w:val="00A167CA"/>
    <w:rsid w:val="00A16E86"/>
    <w:rsid w:val="00A17D67"/>
    <w:rsid w:val="00A2243E"/>
    <w:rsid w:val="00A2251C"/>
    <w:rsid w:val="00A225D2"/>
    <w:rsid w:val="00A23FD7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6F0"/>
    <w:rsid w:val="00A37A65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6CB4"/>
    <w:rsid w:val="00A67A90"/>
    <w:rsid w:val="00A67B01"/>
    <w:rsid w:val="00A70D20"/>
    <w:rsid w:val="00A71E0A"/>
    <w:rsid w:val="00A71E12"/>
    <w:rsid w:val="00A72DC8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A3F"/>
    <w:rsid w:val="00A93BFE"/>
    <w:rsid w:val="00A941AC"/>
    <w:rsid w:val="00A9447F"/>
    <w:rsid w:val="00A948A5"/>
    <w:rsid w:val="00A956E1"/>
    <w:rsid w:val="00A95900"/>
    <w:rsid w:val="00A9605F"/>
    <w:rsid w:val="00A96247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133D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2B4C"/>
    <w:rsid w:val="00AC33F5"/>
    <w:rsid w:val="00AC3809"/>
    <w:rsid w:val="00AC3E75"/>
    <w:rsid w:val="00AC531B"/>
    <w:rsid w:val="00AC5999"/>
    <w:rsid w:val="00AC5CAC"/>
    <w:rsid w:val="00AC616B"/>
    <w:rsid w:val="00AC67E8"/>
    <w:rsid w:val="00AC69D2"/>
    <w:rsid w:val="00AC758A"/>
    <w:rsid w:val="00AD0CD2"/>
    <w:rsid w:val="00AD258F"/>
    <w:rsid w:val="00AD27FF"/>
    <w:rsid w:val="00AD3E3F"/>
    <w:rsid w:val="00AD4335"/>
    <w:rsid w:val="00AD52B3"/>
    <w:rsid w:val="00AD6423"/>
    <w:rsid w:val="00AD73C1"/>
    <w:rsid w:val="00AD7D8B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7E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277B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0700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10"/>
    <w:rsid w:val="00BB2DCE"/>
    <w:rsid w:val="00BB3092"/>
    <w:rsid w:val="00BB43CE"/>
    <w:rsid w:val="00BC0000"/>
    <w:rsid w:val="00BC0F3D"/>
    <w:rsid w:val="00BC1273"/>
    <w:rsid w:val="00BC160C"/>
    <w:rsid w:val="00BC3A05"/>
    <w:rsid w:val="00BC5704"/>
    <w:rsid w:val="00BC60D9"/>
    <w:rsid w:val="00BC68FA"/>
    <w:rsid w:val="00BC737D"/>
    <w:rsid w:val="00BC7649"/>
    <w:rsid w:val="00BD1B38"/>
    <w:rsid w:val="00BD1EA2"/>
    <w:rsid w:val="00BD3398"/>
    <w:rsid w:val="00BD4AC5"/>
    <w:rsid w:val="00BD77CF"/>
    <w:rsid w:val="00BE062F"/>
    <w:rsid w:val="00BE0EF3"/>
    <w:rsid w:val="00BE1ACF"/>
    <w:rsid w:val="00BE1BA1"/>
    <w:rsid w:val="00BE211B"/>
    <w:rsid w:val="00BE3522"/>
    <w:rsid w:val="00BE3C14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252"/>
    <w:rsid w:val="00C23C79"/>
    <w:rsid w:val="00C2400B"/>
    <w:rsid w:val="00C240C2"/>
    <w:rsid w:val="00C241B3"/>
    <w:rsid w:val="00C25E4C"/>
    <w:rsid w:val="00C25FB9"/>
    <w:rsid w:val="00C26E87"/>
    <w:rsid w:val="00C26F39"/>
    <w:rsid w:val="00C30BF0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B88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41C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97D"/>
    <w:rsid w:val="00C81C4B"/>
    <w:rsid w:val="00C829AC"/>
    <w:rsid w:val="00C83458"/>
    <w:rsid w:val="00C83E56"/>
    <w:rsid w:val="00C845D2"/>
    <w:rsid w:val="00C87836"/>
    <w:rsid w:val="00C908CF"/>
    <w:rsid w:val="00C90FD3"/>
    <w:rsid w:val="00C91A60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0D0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101C0"/>
    <w:rsid w:val="00D1047C"/>
    <w:rsid w:val="00D111C9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CE6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686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91070"/>
    <w:rsid w:val="00D92533"/>
    <w:rsid w:val="00D92CB5"/>
    <w:rsid w:val="00D931A8"/>
    <w:rsid w:val="00D93882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6CC"/>
    <w:rsid w:val="00DB2F50"/>
    <w:rsid w:val="00DB5BEC"/>
    <w:rsid w:val="00DB69C3"/>
    <w:rsid w:val="00DB6A73"/>
    <w:rsid w:val="00DB6C32"/>
    <w:rsid w:val="00DC04BA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4281"/>
    <w:rsid w:val="00DD4D27"/>
    <w:rsid w:val="00DD5D00"/>
    <w:rsid w:val="00DD6AA9"/>
    <w:rsid w:val="00DE00E1"/>
    <w:rsid w:val="00DE0CCB"/>
    <w:rsid w:val="00DE219C"/>
    <w:rsid w:val="00DE3E8E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990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55"/>
    <w:rsid w:val="00E240A4"/>
    <w:rsid w:val="00E243E8"/>
    <w:rsid w:val="00E24AA4"/>
    <w:rsid w:val="00E27074"/>
    <w:rsid w:val="00E306F9"/>
    <w:rsid w:val="00E30875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47495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4D49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2D17"/>
    <w:rsid w:val="00E733D3"/>
    <w:rsid w:val="00E73716"/>
    <w:rsid w:val="00E73A82"/>
    <w:rsid w:val="00E73CCD"/>
    <w:rsid w:val="00E73F5D"/>
    <w:rsid w:val="00E74002"/>
    <w:rsid w:val="00E74BA7"/>
    <w:rsid w:val="00E7509F"/>
    <w:rsid w:val="00E757EF"/>
    <w:rsid w:val="00E818FA"/>
    <w:rsid w:val="00E81ECB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330E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36B1"/>
    <w:rsid w:val="00EB4042"/>
    <w:rsid w:val="00EB5FDB"/>
    <w:rsid w:val="00EB73E3"/>
    <w:rsid w:val="00EB750D"/>
    <w:rsid w:val="00EC0B06"/>
    <w:rsid w:val="00EC2C29"/>
    <w:rsid w:val="00EC3385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1326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15E5"/>
    <w:rsid w:val="00F0219C"/>
    <w:rsid w:val="00F03916"/>
    <w:rsid w:val="00F03A94"/>
    <w:rsid w:val="00F03E83"/>
    <w:rsid w:val="00F04677"/>
    <w:rsid w:val="00F04C12"/>
    <w:rsid w:val="00F06468"/>
    <w:rsid w:val="00F06487"/>
    <w:rsid w:val="00F06E5E"/>
    <w:rsid w:val="00F075E2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67A37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231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2FCF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1716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2F35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3DAB-A59E-4708-9AB4-C8481B7C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23573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175</cp:revision>
  <cp:lastPrinted>2020-04-08T05:49:00Z</cp:lastPrinted>
  <dcterms:created xsi:type="dcterms:W3CDTF">2020-04-08T09:11:00Z</dcterms:created>
  <dcterms:modified xsi:type="dcterms:W3CDTF">2024-10-05T12:49:00Z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